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 </w:t>
      </w:r>
    </w:p>
    <w:p>
      <w:pPr>
        <w:ind w:firstLine="2731" w:firstLineChars="8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招标内容及要求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采购2台55吋“空中翻书”展品，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预算为伍万元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，中标方式为合理低价中标。付款方式为验收合格后付中标金额的90%，运行一年无故障付清余款。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本次招标范围包含硬件设备的定制采购及软件的安装调试、宣传内容制作与上传、更新等服务。科普宣传内容制作不低于十个大项、页面不低于350页，应围绕福州科技馆展品进行拓展。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投标说明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 </w:t>
      </w:r>
    </w:p>
    <w:p>
      <w:pPr>
        <w:pStyle w:val="4"/>
        <w:ind w:left="1265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）本次投标为包工包料，2年质保期。  </w:t>
      </w:r>
    </w:p>
    <w:p>
      <w:pPr>
        <w:pStyle w:val="4"/>
        <w:ind w:left="1265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）投标时价格标应单独封装。商务标中应包含贵公司经营的合法证明文件及有关资质证明材料等。如企业法人经营执照、税务登记证等。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1163" w:leftChars="554"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）投标书中应包含贵公司详细的服务承诺（维保范围、响应时间、完工时限等），并提供产品设备的合格证书。</w:t>
      </w:r>
    </w:p>
    <w:p>
      <w:pPr>
        <w:pStyle w:val="4"/>
        <w:ind w:left="1265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）所有投标文件须加盖企业印章及法人签字，密封装订。</w:t>
      </w:r>
    </w:p>
    <w:p>
      <w:pPr>
        <w:ind w:firstLine="320" w:firstLineChars="1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设备要求及参数</w:t>
      </w:r>
    </w:p>
    <w:p>
      <w:pPr>
        <w:pStyle w:val="4"/>
        <w:numPr>
          <w:ilvl w:val="0"/>
          <w:numId w:val="2"/>
        </w:numPr>
        <w:spacing w:line="0" w:lineRule="atLeast"/>
        <w:ind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体感隔空红外感应翻动操作</w:t>
      </w:r>
    </w:p>
    <w:p>
      <w:pPr>
        <w:pStyle w:val="4"/>
        <w:numPr>
          <w:ilvl w:val="0"/>
          <w:numId w:val="2"/>
        </w:numPr>
        <w:tabs>
          <w:tab w:val="left" w:pos="551"/>
        </w:tabs>
        <w:spacing w:line="438" w:lineRule="auto"/>
        <w:ind w:right="94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外框金属结构，结实耐用；防腐防锈烤漆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工艺， 无锐利边缘整体防暴设计。</w:t>
      </w:r>
    </w:p>
    <w:p>
      <w:pPr>
        <w:pStyle w:val="4"/>
        <w:numPr>
          <w:ilvl w:val="0"/>
          <w:numId w:val="2"/>
        </w:numPr>
        <w:tabs>
          <w:tab w:val="left" w:pos="551"/>
        </w:tabs>
        <w:spacing w:line="453" w:lineRule="auto"/>
        <w:ind w:firstLineChars="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使用简单便捷、易于维护；扩充性好，配置灵活，可扩充安装客户需求的各种功能配件。</w:t>
      </w:r>
    </w:p>
    <w:p>
      <w:pPr>
        <w:spacing w:line="229" w:lineRule="exact"/>
        <w:rPr>
          <w:rFonts w:ascii="宋体" w:hAnsi="宋体" w:eastAsia="宋体" w:cs="宋体"/>
          <w:bCs/>
          <w:sz w:val="30"/>
          <w:szCs w:val="30"/>
        </w:rPr>
      </w:pPr>
    </w:p>
    <w:p>
      <w:pPr>
        <w:pStyle w:val="4"/>
        <w:tabs>
          <w:tab w:val="left" w:pos="551"/>
        </w:tabs>
        <w:spacing w:line="438" w:lineRule="auto"/>
        <w:ind w:left="1470" w:right="940" w:firstLine="0" w:firstLineChars="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参考外观与尺寸：</w:t>
      </w:r>
    </w:p>
    <w:p>
      <w:pPr>
        <w:rPr>
          <w:rFonts w:ascii="宋体" w:hAnsi="宋体" w:eastAsia="宋体" w:cs="宋体"/>
          <w:bCs/>
          <w:szCs w:val="21"/>
        </w:rPr>
      </w:pPr>
      <w:r>
        <w:drawing>
          <wp:inline distT="0" distB="0" distL="0" distR="0">
            <wp:extent cx="5945505" cy="3797935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5944" cy="3798427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“空中翻书”展品技术参数</w:t>
      </w:r>
    </w:p>
    <w:p>
      <w:pPr>
        <w:spacing w:line="0" w:lineRule="atLeas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液晶屏参数</w:t>
      </w:r>
    </w:p>
    <w:p>
      <w:pPr>
        <w:spacing w:line="151" w:lineRule="exact"/>
        <w:rPr>
          <w:rFonts w:ascii="宋体" w:hAnsi="宋体" w:eastAsia="宋体" w:cs="宋体"/>
          <w:bCs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  <w:gridCol w:w="66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屏类型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ind w:left="8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LED 液晶屏A+规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尺寸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显示区域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680*1209mm （16：9）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最佳分辨率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1920*1080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亮度</w:t>
            </w:r>
            <w:r>
              <w:rPr>
                <w:rFonts w:hint="eastAsia" w:ascii="宋体" w:hAnsi="宋体" w:cs="宋体"/>
                <w:bCs/>
                <w:szCs w:val="21"/>
              </w:rPr>
              <w:t>/对比度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8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亮度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≥ </w:t>
            </w:r>
            <w:r>
              <w:rPr>
                <w:rFonts w:hint="eastAsia" w:ascii="宋体" w:hAnsi="宋体" w:cs="宋体"/>
                <w:bCs/>
                <w:szCs w:val="21"/>
              </w:rPr>
              <w:t>350CD/ 对比度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≥ </w:t>
            </w:r>
            <w:r>
              <w:rPr>
                <w:rFonts w:hint="eastAsia" w:ascii="宋体" w:hAnsi="宋体" w:cs="宋体"/>
                <w:bCs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00：1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响应时间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50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60Hz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色彩总数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16.7M（6-bit +Hi-FRC）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可视角度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8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上下左右178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使用寿命</w:t>
            </w:r>
          </w:p>
        </w:tc>
        <w:tc>
          <w:tcPr>
            <w:tcW w:w="6650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&gt; 50000 小时</w:t>
            </w:r>
          </w:p>
        </w:tc>
      </w:tr>
    </w:tbl>
    <w:p>
      <w:pPr>
        <w:spacing w:line="358" w:lineRule="exact"/>
        <w:rPr>
          <w:rFonts w:ascii="宋体" w:hAnsi="宋体" w:eastAsia="宋体" w:cs="宋体"/>
          <w:bCs/>
          <w:szCs w:val="21"/>
        </w:rPr>
      </w:pPr>
    </w:p>
    <w:p>
      <w:pPr>
        <w:spacing w:line="0" w:lineRule="atLeas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电源参数</w:t>
      </w:r>
    </w:p>
    <w:p>
      <w:pPr>
        <w:spacing w:line="151" w:lineRule="exact"/>
        <w:rPr>
          <w:rFonts w:ascii="宋体" w:hAnsi="宋体" w:eastAsia="宋体" w:cs="宋体"/>
          <w:bCs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65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046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12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输入电源</w:t>
            </w:r>
          </w:p>
        </w:tc>
        <w:tc>
          <w:tcPr>
            <w:tcW w:w="6514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220V AC 50/60Hz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046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12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输出电源</w:t>
            </w:r>
          </w:p>
        </w:tc>
        <w:tc>
          <w:tcPr>
            <w:tcW w:w="6514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4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24V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046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12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整机功耗</w:t>
            </w:r>
          </w:p>
        </w:tc>
        <w:tc>
          <w:tcPr>
            <w:tcW w:w="6514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&lt;</w:t>
            </w:r>
            <w:r>
              <w:rPr>
                <w:rFonts w:hint="eastAsia" w:ascii="宋体" w:hAnsi="宋体" w:cs="宋体"/>
                <w:bCs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0W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3046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12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待机功耗</w:t>
            </w:r>
          </w:p>
        </w:tc>
        <w:tc>
          <w:tcPr>
            <w:tcW w:w="6514" w:type="dxa"/>
            <w:tcBorders>
              <w:tl2br w:val="nil"/>
              <w:tr2bl w:val="nil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﹤0.5 W</w:t>
            </w:r>
          </w:p>
        </w:tc>
      </w:tr>
    </w:tbl>
    <w:p>
      <w:pPr>
        <w:spacing w:line="0" w:lineRule="atLeas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工作环境</w:t>
      </w:r>
    </w:p>
    <w:p>
      <w:pPr>
        <w:spacing w:line="150" w:lineRule="exact"/>
        <w:rPr>
          <w:rFonts w:ascii="宋体" w:hAnsi="宋体" w:eastAsia="宋体" w:cs="宋体"/>
          <w:bCs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5"/>
        <w:gridCol w:w="65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065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ind w:left="12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工作温度</w:t>
            </w:r>
          </w:p>
        </w:tc>
        <w:tc>
          <w:tcPr>
            <w:tcW w:w="6555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ind w:left="8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-10℃~45℃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3065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ind w:left="12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工作湿度</w:t>
            </w:r>
          </w:p>
        </w:tc>
        <w:tc>
          <w:tcPr>
            <w:tcW w:w="6555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ind w:left="8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0% - 90%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3065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ind w:left="12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贮存温度</w:t>
            </w:r>
          </w:p>
        </w:tc>
        <w:tc>
          <w:tcPr>
            <w:tcW w:w="6555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ind w:left="8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-40℃-85℃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065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ind w:left="12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贮存湿度</w:t>
            </w:r>
          </w:p>
        </w:tc>
        <w:tc>
          <w:tcPr>
            <w:tcW w:w="6555" w:type="dxa"/>
            <w:tcBorders>
              <w:tl2br w:val="nil"/>
              <w:tr2bl w:val="nil"/>
            </w:tcBorders>
            <w:vAlign w:val="bottom"/>
          </w:tcPr>
          <w:p>
            <w:pPr>
              <w:spacing w:line="239" w:lineRule="exact"/>
              <w:ind w:left="8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10% - 95%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触摸屏：设计采用电容触摸屏（真10点）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6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36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尺  寸(英寸)</w:t>
            </w:r>
          </w:p>
        </w:tc>
        <w:tc>
          <w:tcPr>
            <w:tcW w:w="6196" w:type="dxa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分辨率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4096*4096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扫描率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60scans/s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最小触摸体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≧5mm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响应速度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16ms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耐久性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承受超过60，000，000次以上的单点触摸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表面硬度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莫氏7级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电力消耗(W)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1.8W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定位精度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红外触摸屏供电系统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USB直接供电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计算机响应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系统自动识别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光标速度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≧120点/秒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适应操作系统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Windows7、8\XP\2000\98\ Android\LINUX\CE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使用年限</w:t>
            </w:r>
          </w:p>
        </w:tc>
        <w:tc>
          <w:tcPr>
            <w:tcW w:w="6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5年以上</w:t>
            </w:r>
          </w:p>
        </w:tc>
      </w:tr>
    </w:tbl>
    <w:p>
      <w:pPr>
        <w:rPr>
          <w:rFonts w:ascii="宋体" w:hAnsi="宋体" w:eastAsia="宋体" w:cs="宋体"/>
          <w:bCs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33" w:type="dxa"/>
            <w:gridSpan w:val="2"/>
            <w:shd w:val="clear" w:color="auto" w:fill="BFBFBF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配置方案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体感模块</w:t>
            </w:r>
          </w:p>
        </w:tc>
        <w:tc>
          <w:tcPr>
            <w:tcW w:w="7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红外体感模块+翻书软件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I5配置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芯片组</w:t>
            </w:r>
          </w:p>
        </w:tc>
        <w:tc>
          <w:tcPr>
            <w:tcW w:w="7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Intel芯片组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CPU</w:t>
            </w:r>
          </w:p>
        </w:tc>
        <w:tc>
          <w:tcPr>
            <w:tcW w:w="7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Intel Core I5 </w:t>
            </w:r>
            <w:r>
              <w:rPr>
                <w:rFonts w:hint="eastAsia" w:ascii="宋体" w:hAnsi="宋体" w:cs="宋体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内存/存储</w:t>
            </w:r>
          </w:p>
        </w:tc>
        <w:tc>
          <w:tcPr>
            <w:tcW w:w="7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4G DDR3内存/120G SSD硬盘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显卡</w:t>
            </w:r>
          </w:p>
        </w:tc>
        <w:tc>
          <w:tcPr>
            <w:tcW w:w="76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Intel核芯显卡Intel HD Graphics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接口</w:t>
            </w:r>
          </w:p>
        </w:tc>
        <w:tc>
          <w:tcPr>
            <w:tcW w:w="7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2路USB 3.0、2路USB2.0 1路RJ45网络接口、1路HDMI、1路LINE输出、1路MIC输入、支持wifi；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操作系统</w:t>
            </w:r>
          </w:p>
        </w:tc>
        <w:tc>
          <w:tcPr>
            <w:tcW w:w="7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Windows 7操作系统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C89"/>
    <w:multiLevelType w:val="multilevel"/>
    <w:tmpl w:val="04B67C89"/>
    <w:lvl w:ilvl="0" w:tentative="0">
      <w:start w:val="1"/>
      <w:numFmt w:val="japaneseCounting"/>
      <w:lvlText w:val="%1、"/>
      <w:lvlJc w:val="left"/>
      <w:pPr>
        <w:ind w:left="126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28906270"/>
    <w:multiLevelType w:val="multilevel"/>
    <w:tmpl w:val="28906270"/>
    <w:lvl w:ilvl="0" w:tentative="0">
      <w:start w:val="1"/>
      <w:numFmt w:val="decimal"/>
      <w:lvlText w:val="%1、"/>
      <w:lvlJc w:val="left"/>
      <w:pPr>
        <w:ind w:left="1470" w:hanging="720"/>
      </w:pPr>
      <w:rPr>
        <w:rFonts w:hint="default" w:eastAsiaTheme="minorEastAsia"/>
      </w:rPr>
    </w:lvl>
    <w:lvl w:ilvl="1" w:tentative="0">
      <w:start w:val="1"/>
      <w:numFmt w:val="lowerLetter"/>
      <w:lvlText w:val="%2)"/>
      <w:lvlJc w:val="left"/>
      <w:pPr>
        <w:ind w:left="1590" w:hanging="420"/>
      </w:pPr>
    </w:lvl>
    <w:lvl w:ilvl="2" w:tentative="0">
      <w:start w:val="1"/>
      <w:numFmt w:val="lowerRoman"/>
      <w:lvlText w:val="%3."/>
      <w:lvlJc w:val="right"/>
      <w:pPr>
        <w:ind w:left="2010" w:hanging="420"/>
      </w:pPr>
    </w:lvl>
    <w:lvl w:ilvl="3" w:tentative="0">
      <w:start w:val="1"/>
      <w:numFmt w:val="decimal"/>
      <w:lvlText w:val="%4."/>
      <w:lvlJc w:val="left"/>
      <w:pPr>
        <w:ind w:left="2430" w:hanging="420"/>
      </w:pPr>
    </w:lvl>
    <w:lvl w:ilvl="4" w:tentative="0">
      <w:start w:val="1"/>
      <w:numFmt w:val="lowerLetter"/>
      <w:lvlText w:val="%5)"/>
      <w:lvlJc w:val="left"/>
      <w:pPr>
        <w:ind w:left="2850" w:hanging="420"/>
      </w:pPr>
    </w:lvl>
    <w:lvl w:ilvl="5" w:tentative="0">
      <w:start w:val="1"/>
      <w:numFmt w:val="lowerRoman"/>
      <w:lvlText w:val="%6."/>
      <w:lvlJc w:val="right"/>
      <w:pPr>
        <w:ind w:left="3270" w:hanging="420"/>
      </w:pPr>
    </w:lvl>
    <w:lvl w:ilvl="6" w:tentative="0">
      <w:start w:val="1"/>
      <w:numFmt w:val="decimal"/>
      <w:lvlText w:val="%7."/>
      <w:lvlJc w:val="left"/>
      <w:pPr>
        <w:ind w:left="3690" w:hanging="420"/>
      </w:pPr>
    </w:lvl>
    <w:lvl w:ilvl="7" w:tentative="0">
      <w:start w:val="1"/>
      <w:numFmt w:val="lowerLetter"/>
      <w:lvlText w:val="%8)"/>
      <w:lvlJc w:val="left"/>
      <w:pPr>
        <w:ind w:left="4110" w:hanging="420"/>
      </w:pPr>
    </w:lvl>
    <w:lvl w:ilvl="8" w:tentative="0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0656C"/>
    <w:rsid w:val="40390AAC"/>
    <w:rsid w:val="5790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2020-03-27T03:29:00Z</dcterms:created>
  <dc:creator>Rio</dc:creator>
  <cp:lastModifiedBy>Rio</cp:lastModifiedBy>
  <dcterms:modified xsi:type="dcterms:W3CDTF">2020-03-27T03:33:37Z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